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1B45F9">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1B45F9">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1B45F9">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1B45F9">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1B45F9">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1B45F9">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1B45F9">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1B45F9">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1B45F9">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1B45F9">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1B45F9">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1B45F9">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1B45F9">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1B45F9">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1B45F9">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1B45F9">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1B45F9">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1B45F9">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1B45F9">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1B45F9">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1B45F9">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1B45F9">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1B45F9">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1B45F9">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1B45F9">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1B45F9">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1B45F9">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1B45F9">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1B45F9">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1B45F9">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1B45F9">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1B45F9">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1B45F9">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1B45F9">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1B45F9">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1B45F9">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1B45F9">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1B45F9">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1B45F9">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1B45F9">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1B45F9">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1B45F9">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1B45F9">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1B45F9">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1B45F9">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1B45F9">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0CFB325" w:rsidR="00093CA9" w:rsidRDefault="006840CD" w:rsidP="00093CA9">
            <w:r>
              <w:t>De Brauw</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D249FDE" w:rsidR="00093CA9" w:rsidRDefault="006840CD" w:rsidP="00093CA9">
            <w:r w:rsidRPr="006840CD">
              <w:t>Carbon Removals and Carbon Farming Regulation ("CRCF") [Regulation (EU) 2024/3012 of the European Parliament and of the Council of 27 November 2024 establishing a Union certification framework for permanent carbon removals, carbon farming and carbon storage in products]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CEC1979" w:rsidR="00093CA9" w:rsidRDefault="001B45F9" w:rsidP="00093CA9">
            <w:r w:rsidRPr="001B45F9">
              <w:t>https://web.archive.org/web/20250627150356/https:/eur-lex.europa.eu/eli/reg/2024/3012/oj/eng</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115F9EA" w:rsidR="00093CA9" w:rsidRDefault="006840CD"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209233B6" w14:textId="77777777" w:rsidR="00062B5B" w:rsidRDefault="00062B5B" w:rsidP="00093CA9">
            <w:r w:rsidRPr="00062B5B">
              <w:t>Regulation (EU) 2024/3012 sets up a unified voluntary EU framework to certify</w:t>
            </w:r>
            <w:r>
              <w:t>:</w:t>
            </w:r>
          </w:p>
          <w:p w14:paraId="7439EE4A" w14:textId="77777777" w:rsidR="00062B5B" w:rsidRDefault="00062B5B" w:rsidP="00062B5B">
            <w:pPr>
              <w:pStyle w:val="ListParagraph"/>
              <w:numPr>
                <w:ilvl w:val="0"/>
                <w:numId w:val="49"/>
              </w:numPr>
            </w:pPr>
            <w:r>
              <w:t>P</w:t>
            </w:r>
            <w:r w:rsidRPr="00062B5B">
              <w:t>ermanent carbon removals</w:t>
            </w:r>
            <w:r>
              <w:t xml:space="preserve"> (</w:t>
            </w:r>
            <w:r w:rsidRPr="00062B5B">
              <w:t>any practice or process that, under normal circumstances and using appropriate management practices, captures and stores atmospheric or biogenic carbon for several centuries</w:t>
            </w:r>
            <w:r>
              <w:t>);</w:t>
            </w:r>
          </w:p>
          <w:p w14:paraId="16C1ADC5" w14:textId="77777777" w:rsidR="00062B5B" w:rsidRDefault="00062B5B" w:rsidP="00062B5B">
            <w:pPr>
              <w:pStyle w:val="ListParagraph"/>
              <w:numPr>
                <w:ilvl w:val="0"/>
                <w:numId w:val="49"/>
              </w:numPr>
            </w:pPr>
            <w:r>
              <w:t>C</w:t>
            </w:r>
            <w:r w:rsidRPr="00062B5B">
              <w:t>arbon farming</w:t>
            </w:r>
            <w:r>
              <w:t xml:space="preserve"> (</w:t>
            </w:r>
            <w:r w:rsidRPr="00062B5B">
              <w:t>any practice or process carried out over an activity period of at least five years, related to the management of a terrestrial or coastal environment and resulting in the capture and temporary storage of atmospheric or biogenic carbon in biogenic carbon pools, or in the reduction of soil emissions</w:t>
            </w:r>
            <w:r>
              <w:t>), and;</w:t>
            </w:r>
          </w:p>
          <w:p w14:paraId="7115E010" w14:textId="77777777" w:rsidR="00062B5B" w:rsidRDefault="00062B5B" w:rsidP="00062B5B">
            <w:pPr>
              <w:pStyle w:val="ListParagraph"/>
              <w:numPr>
                <w:ilvl w:val="0"/>
                <w:numId w:val="49"/>
              </w:numPr>
            </w:pPr>
            <w:r>
              <w:t>C</w:t>
            </w:r>
            <w:r w:rsidRPr="00062B5B">
              <w:t>arbon storage</w:t>
            </w:r>
            <w:r>
              <w:t xml:space="preserve"> (</w:t>
            </w:r>
            <w:r w:rsidRPr="00062B5B">
              <w:t>any practice or process that captures and stores atmospheric or biogenic carbon for at least 35 years in long-lasting products, allows on-site monitoring of the carbon stored and is certified throughout the monitoring period</w:t>
            </w:r>
            <w:r>
              <w:t>)</w:t>
            </w:r>
            <w:r w:rsidRPr="00062B5B">
              <w:t xml:space="preserve"> in products via independent audits and a central registry. </w:t>
            </w:r>
          </w:p>
          <w:p w14:paraId="18257824" w14:textId="5CA15EF1" w:rsidR="00093CA9" w:rsidRPr="00062B5B" w:rsidRDefault="00062B5B" w:rsidP="00093CA9">
            <w:r w:rsidRPr="00062B5B">
              <w:t>It ensures robust quantification, durability, additionality, and sustainability</w:t>
            </w:r>
            <w:r w:rsidR="00675598">
              <w:t>.</w:t>
            </w:r>
            <w:r w:rsidRPr="00062B5B">
              <w:t xml:space="preserve"> By integrating EU climate goals, existing directives, and scientific standards, the framework seeks to boost trust and scale highest-quality carbon removal efforts</w:t>
            </w:r>
            <w:r>
              <w:t xml:space="preserve">, </w:t>
            </w:r>
            <w:r w:rsidRPr="00062B5B">
              <w:t>and will be continually refined through regular oversight and technical rulemaking.</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98C7EC9" w:rsidR="00093CA9" w:rsidRDefault="00062B5B"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0E14C64" w:rsidR="00093CA9" w:rsidRPr="00173D7C" w:rsidRDefault="00C273BE"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F86C3F4" w:rsidR="00093CA9" w:rsidRPr="00173D7C" w:rsidRDefault="00291332"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10362C7" w:rsidR="00093CA9" w:rsidRDefault="00C273BE" w:rsidP="00093CA9">
            <w:r>
              <w:t>The European Parliament and the Council of the European Union, proposed by the European Commission.</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10833B7" w:rsidR="00093CA9" w:rsidRPr="006B7B0D" w:rsidRDefault="00923FF1" w:rsidP="00093CA9">
            <w:r>
              <w:t>None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1D3B1349" w:rsidR="00093CA9" w:rsidRDefault="00D36FB8" w:rsidP="00093CA9">
            <w:r>
              <w:t>There are no EU authorities responsible for overseeing implementation and enforcement of this regulation.</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A03BE54" w:rsidR="00093CA9" w:rsidRDefault="00285CF3"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0CC3F71F" w:rsidR="00093CA9" w:rsidRPr="008017F9" w:rsidRDefault="00285CF3" w:rsidP="00093CA9">
            <w:pPr>
              <w:keepNext/>
              <w:rPr>
                <w:color w:val="000000" w:themeColor="text1"/>
              </w:rPr>
            </w:pPr>
            <w:r>
              <w:rPr>
                <w:color w:val="000000" w:themeColor="text1"/>
              </w:rPr>
              <w:t xml:space="preserve">The monitoring tool is not yet in force. </w:t>
            </w:r>
            <w:r w:rsidRPr="00285CF3">
              <w:rPr>
                <w:color w:val="000000" w:themeColor="text1"/>
              </w:rPr>
              <w:t>T</w:t>
            </w:r>
            <w:r>
              <w:rPr>
                <w:color w:val="000000" w:themeColor="text1"/>
              </w:rPr>
              <w:t>he Commission will establish a Union registry (by 27 December 2028) for permanent carbon removals, carbon farming and carbon storage in products, to make certain information related to the certification process publicly available in an accessible way. See Article 12 of Regulation 2024/3012.</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416E2B30" w:rsidR="00D4323A" w:rsidRPr="00CF2E7C" w:rsidRDefault="00285CF3" w:rsidP="00CF2E7C">
            <w:pPr>
              <w:rPr>
                <w:rFonts w:ascii="Calibri" w:hAnsi="Calibri" w:cs="Calibri"/>
              </w:rPr>
            </w:pPr>
            <w:r>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3A7BAC13" w:rsidR="00D4323A" w:rsidRPr="00CF2E7C" w:rsidRDefault="00285CF3" w:rsidP="00CF2E7C">
            <w:pPr>
              <w:rPr>
                <w:rFonts w:ascii="Calibri" w:hAnsi="Calibri" w:cs="Calibri"/>
              </w:rPr>
            </w:pPr>
            <w:r>
              <w:rPr>
                <w:rFonts w:ascii="Calibri" w:hAnsi="Calibri" w:cs="Calibri"/>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3585345D" w:rsidR="00D4323A" w:rsidRPr="00CF2E7C" w:rsidRDefault="00285CF3" w:rsidP="00CF2E7C">
            <w:pPr>
              <w:rPr>
                <w:rFonts w:ascii="Calibri" w:hAnsi="Calibri" w:cs="Calibri"/>
              </w:rPr>
            </w:pPr>
            <w:r>
              <w:rPr>
                <w:rFonts w:ascii="Calibri" w:hAnsi="Calibri" w:cs="Calibri"/>
              </w:rPr>
              <w:t>X</w:t>
            </w: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523696FF" w:rsidR="00D4323A" w:rsidRPr="00CF2E7C" w:rsidRDefault="00285CF3" w:rsidP="00CF2E7C">
            <w:pPr>
              <w:rPr>
                <w:rFonts w:ascii="Calibri" w:hAnsi="Calibri" w:cs="Calibri"/>
              </w:rPr>
            </w:pPr>
            <w:r>
              <w:rPr>
                <w:rFonts w:ascii="Calibri" w:hAnsi="Calibri" w:cs="Calibri"/>
              </w:rPr>
              <w:t>X</w:t>
            </w: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134B8BDB" w:rsidR="00D4323A" w:rsidRPr="00CF2E7C" w:rsidRDefault="00285CF3" w:rsidP="00CF2E7C">
            <w:pPr>
              <w:rPr>
                <w:rFonts w:ascii="Calibri" w:hAnsi="Calibri" w:cs="Calibri"/>
              </w:rPr>
            </w:pPr>
            <w:r>
              <w:rPr>
                <w:rFonts w:ascii="Calibri" w:hAnsi="Calibri" w:cs="Calibri"/>
              </w:rPr>
              <w:t>X</w:t>
            </w: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54411485" w:rsidR="00D4323A" w:rsidRPr="00CF2E7C" w:rsidRDefault="00285CF3" w:rsidP="00CF2E7C">
            <w:pPr>
              <w:rPr>
                <w:rFonts w:ascii="Calibri" w:hAnsi="Calibri" w:cs="Calibri"/>
              </w:rPr>
            </w:pPr>
            <w:r>
              <w:rPr>
                <w:rFonts w:ascii="Calibri" w:hAnsi="Calibri" w:cs="Calibri"/>
              </w:rPr>
              <w:t>X</w:t>
            </w: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5FBD027D" w:rsidR="00D4323A" w:rsidRPr="00CF2E7C" w:rsidRDefault="00285CF3" w:rsidP="00CF2E7C">
            <w:pPr>
              <w:rPr>
                <w:rFonts w:ascii="Calibri" w:hAnsi="Calibri" w:cs="Calibri"/>
              </w:rPr>
            </w:pPr>
            <w:r>
              <w:rPr>
                <w:rFonts w:ascii="Calibri" w:hAnsi="Calibri" w:cs="Calibri"/>
              </w:rPr>
              <w:t>X</w:t>
            </w: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1155CE2" w:rsidR="00D4323A" w:rsidRPr="00CF2E7C" w:rsidRDefault="00285CF3" w:rsidP="00CF2E7C">
            <w:pPr>
              <w:rPr>
                <w:rFonts w:ascii="Calibri" w:hAnsi="Calibri" w:cs="Calibri"/>
              </w:rPr>
            </w:pPr>
            <w:r>
              <w:rPr>
                <w:rFonts w:ascii="Calibri" w:hAnsi="Calibri" w:cs="Calibri"/>
              </w:rPr>
              <w:t>X</w:t>
            </w: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5B994462" w:rsidR="00D4323A" w:rsidRPr="00CF2E7C" w:rsidRDefault="00285CF3" w:rsidP="00CF2E7C">
            <w:pPr>
              <w:rPr>
                <w:rFonts w:ascii="Calibri" w:hAnsi="Calibri" w:cs="Calibri"/>
              </w:rPr>
            </w:pPr>
            <w:r>
              <w:rPr>
                <w:rFonts w:ascii="Calibri" w:hAnsi="Calibri" w:cs="Calibri"/>
              </w:rPr>
              <w:t>X</w:t>
            </w: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21E14E3A" w:rsidR="00D4323A" w:rsidRPr="00CF2E7C" w:rsidRDefault="00285CF3" w:rsidP="00CF2E7C">
            <w:pPr>
              <w:rPr>
                <w:rFonts w:ascii="Calibri" w:hAnsi="Calibri" w:cs="Calibri"/>
              </w:rPr>
            </w:pPr>
            <w:r>
              <w:rPr>
                <w:rFonts w:ascii="Calibri" w:hAnsi="Calibri" w:cs="Calibri"/>
              </w:rPr>
              <w:t>X</w:t>
            </w: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5B82CCC1" w:rsidR="00D4323A" w:rsidRPr="00CF2E7C" w:rsidRDefault="00285CF3" w:rsidP="00CF2E7C">
            <w:pPr>
              <w:rPr>
                <w:rFonts w:ascii="Calibri" w:hAnsi="Calibri" w:cs="Calibri"/>
              </w:rPr>
            </w:pPr>
            <w:r>
              <w:rPr>
                <w:rFonts w:ascii="Calibri" w:hAnsi="Calibri" w:cs="Calibri"/>
              </w:rPr>
              <w:t>X</w:t>
            </w: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43F5DF1B" w:rsidR="00D4323A" w:rsidRPr="00CF2E7C" w:rsidRDefault="00285CF3" w:rsidP="00CF2E7C">
            <w:pPr>
              <w:rPr>
                <w:rFonts w:ascii="Calibri" w:hAnsi="Calibri" w:cs="Calibri"/>
              </w:rPr>
            </w:pPr>
            <w:r>
              <w:rPr>
                <w:rFonts w:ascii="Calibri" w:hAnsi="Calibri" w:cs="Calibri"/>
              </w:rPr>
              <w:t>X</w:t>
            </w: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1495DA8" w:rsidR="00D4323A" w:rsidRPr="00CF2E7C" w:rsidRDefault="00285CF3" w:rsidP="00CF2E7C">
            <w:pPr>
              <w:rPr>
                <w:rFonts w:ascii="Calibri" w:hAnsi="Calibri" w:cs="Calibri"/>
              </w:rPr>
            </w:pPr>
            <w:r>
              <w:rPr>
                <w:rFonts w:ascii="Calibri" w:hAnsi="Calibri" w:cs="Calibri"/>
              </w:rPr>
              <w:t>X</w:t>
            </w: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37D3AFC" w:rsidR="00092534" w:rsidRPr="00CF2E7C" w:rsidRDefault="00285CF3" w:rsidP="00CF2E7C">
            <w:pPr>
              <w:rPr>
                <w:rFonts w:ascii="Calibri" w:hAnsi="Calibri" w:cs="Calibri"/>
              </w:rPr>
            </w:pPr>
            <w:r>
              <w:rPr>
                <w:rFonts w:ascii="Calibri" w:hAnsi="Calibri" w:cs="Calibri"/>
              </w:rPr>
              <w:t>The Regulation applies on a voluntary basis to 'operators' and 'groups of operators' (see article 2 (under 5, 6 and 3). These definitions are very broad, meaning that the Regulation voluntarily applies to any kind of natural or legal person that falls within the scope of this definition.</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17F9C57B" w:rsidR="00092534" w:rsidRPr="00CF2E7C" w:rsidRDefault="00B10F4C" w:rsidP="00CF2E7C">
            <w:pPr>
              <w:rPr>
                <w:rFonts w:ascii="Calibri" w:hAnsi="Calibri" w:cs="Calibri"/>
              </w:rPr>
            </w:pPr>
            <w:r>
              <w:rPr>
                <w:rFonts w:ascii="Calibri" w:hAnsi="Calibri" w:cs="Calibri"/>
              </w:rPr>
              <w:t>X</w:t>
            </w: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6419AF30" w:rsidR="00092534" w:rsidRPr="00CF2E7C" w:rsidRDefault="00B10F4C" w:rsidP="00CF2E7C">
            <w:pPr>
              <w:rPr>
                <w:rFonts w:ascii="Calibri" w:hAnsi="Calibri" w:cs="Calibri"/>
              </w:rPr>
            </w:pPr>
            <w:r>
              <w:rPr>
                <w:rFonts w:ascii="Calibri" w:hAnsi="Calibri" w:cs="Calibri"/>
              </w:rPr>
              <w:t>X</w:t>
            </w: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4862A46C" w:rsidR="00092534" w:rsidRPr="00CF2E7C" w:rsidRDefault="00B10F4C" w:rsidP="00CF2E7C">
            <w:pPr>
              <w:rPr>
                <w:rFonts w:ascii="Calibri" w:hAnsi="Calibri" w:cs="Calibri"/>
              </w:rPr>
            </w:pPr>
            <w:r>
              <w:rPr>
                <w:rFonts w:ascii="Calibri" w:hAnsi="Calibri" w:cs="Calibri"/>
              </w:rPr>
              <w:t>X</w:t>
            </w: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0B4A90DD" w:rsidR="00092534" w:rsidRPr="00CF2E7C" w:rsidRDefault="00B10F4C" w:rsidP="00CF2E7C">
            <w:pPr>
              <w:rPr>
                <w:rFonts w:ascii="Calibri" w:hAnsi="Calibri" w:cs="Calibri"/>
              </w:rPr>
            </w:pPr>
            <w:r>
              <w:rPr>
                <w:rFonts w:ascii="Calibri" w:hAnsi="Calibri" w:cs="Calibri"/>
              </w:rPr>
              <w:t>X</w:t>
            </w: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46A428A7" w:rsidR="00092534" w:rsidRPr="00CF2E7C" w:rsidRDefault="00B10F4C" w:rsidP="00CF2E7C">
            <w:pPr>
              <w:rPr>
                <w:rFonts w:ascii="Calibri" w:hAnsi="Calibri" w:cs="Calibri"/>
              </w:rPr>
            </w:pPr>
            <w:r>
              <w:rPr>
                <w:rFonts w:ascii="Calibri" w:hAnsi="Calibri" w:cs="Calibri"/>
              </w:rPr>
              <w:t>X</w:t>
            </w: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15226C21" w:rsidR="00092534" w:rsidRPr="00CF2E7C" w:rsidRDefault="00D1635A" w:rsidP="00CF2E7C">
            <w:pPr>
              <w:rPr>
                <w:rFonts w:ascii="Calibri" w:hAnsi="Calibri" w:cs="Calibri"/>
              </w:rPr>
            </w:pPr>
            <w:r>
              <w:rPr>
                <w:rFonts w:ascii="Calibri" w:hAnsi="Calibri" w:cs="Calibri"/>
              </w:rPr>
              <w:t>X</w:t>
            </w: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0D1D11FC" w:rsidR="00092534" w:rsidRPr="00CF2E7C" w:rsidRDefault="00D1635A" w:rsidP="00CF2E7C">
            <w:pPr>
              <w:rPr>
                <w:rFonts w:ascii="Calibri" w:hAnsi="Calibri" w:cs="Calibri"/>
              </w:rPr>
            </w:pPr>
            <w:r>
              <w:rPr>
                <w:rFonts w:ascii="Calibri" w:hAnsi="Calibri" w:cs="Calibri"/>
              </w:rPr>
              <w:t>The Regulation applies on a voluntary basis to 'operators' and 'groups of operators' (see article 2 (under 5, 6 and 3). These definitions are very broad, meaning that the Regulation voluntarily applies to any kind of natural or legal person that falls within the scope of this definition.</w:t>
            </w: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658D1EEC"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2E5C576E"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2792DCDF"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48301C8C"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8C3EFE9"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0FD7C1AC"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34C5677A"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141F781C"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6B074B3E"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1A87BFE6"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1F823821"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61B012E4"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3AD1AAEA"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1896B70A"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68F8C0EA"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2A0DB962"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6B8DBF6A"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253B78F5"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59C150F"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FE0DA4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022E37B"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54252A43"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D69C15D" w:rsidR="00B10F4C" w:rsidRPr="00CF2E7C" w:rsidRDefault="00B10F4C"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4C683BDE"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0F803CFC" w:rsidR="00092534" w:rsidRPr="00CF2E7C" w:rsidRDefault="00F41020"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4A8C25D" w14:textId="77777777" w:rsidR="00092534" w:rsidRDefault="00F41020" w:rsidP="00CF2E7C">
            <w:pPr>
              <w:rPr>
                <w:rFonts w:ascii="Calibri" w:hAnsi="Calibri" w:cs="Calibri"/>
              </w:rPr>
            </w:pPr>
            <w:r>
              <w:rPr>
                <w:rFonts w:ascii="Calibri" w:hAnsi="Calibri" w:cs="Calibri"/>
              </w:rPr>
              <w:t>There seems to be evidence of the policy tool being implemented. For example, the European Commission has appointed an 'Expert Group on Carbon Removals' (EGCR)</w:t>
            </w:r>
            <w:r w:rsidR="00EB6FDF">
              <w:rPr>
                <w:rFonts w:ascii="Calibri" w:hAnsi="Calibri" w:cs="Calibri"/>
              </w:rPr>
              <w:t xml:space="preserve">, which regularly holds meetings and </w:t>
            </w:r>
            <w:r w:rsidR="00EB6FDF" w:rsidRPr="00EB6FDF">
              <w:rPr>
                <w:rFonts w:ascii="Calibri" w:hAnsi="Calibri" w:cs="Calibri"/>
              </w:rPr>
              <w:t>advises the Commission on the development of tailored EU certification methodologies.</w:t>
            </w:r>
          </w:p>
          <w:p w14:paraId="4E9BC062" w14:textId="46B2F4A9" w:rsidR="00EB6FDF" w:rsidRPr="00CF2E7C" w:rsidRDefault="00EB6FDF" w:rsidP="00CF2E7C">
            <w:pPr>
              <w:rPr>
                <w:rFonts w:ascii="Calibri" w:hAnsi="Calibri" w:cs="Calibri"/>
              </w:rPr>
            </w:pPr>
            <w:r>
              <w:rPr>
                <w:rFonts w:ascii="Calibri" w:hAnsi="Calibri" w:cs="Calibri"/>
              </w:rPr>
              <w:t xml:space="preserve">See: </w:t>
            </w:r>
            <w:hyperlink r:id="rId17" w:anchor="eu-expert-group-on-carbon-removals" w:history="1">
              <w:r w:rsidRPr="00EB6FDF">
                <w:rPr>
                  <w:rStyle w:val="Hyperlink"/>
                  <w:rFonts w:ascii="Calibri" w:hAnsi="Calibri" w:cs="Calibri"/>
                </w:rPr>
                <w:t>Carbon Removals and Carbon Farming - European Commission</w:t>
              </w:r>
            </w:hyperlink>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361B38E5" w:rsidR="00092534" w:rsidRPr="00CF2E7C" w:rsidRDefault="00EB6FDF"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4D541349" w:rsidR="00D46B07" w:rsidRPr="00CF2E7C" w:rsidRDefault="00EB6FD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58AADECA" w:rsidR="00D46B07" w:rsidRPr="00CF2E7C" w:rsidRDefault="00682EE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0118D2F3" w:rsidR="00D46B07" w:rsidRPr="00CF2E7C" w:rsidRDefault="0069247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2D74A6DF"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EB6FDF">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6F327A3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EB6FDF">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7E86D16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EB6FDF">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2E8CFDA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870A1">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6AFE377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C40B0">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35A21B8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C40B0">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2707FC4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C40B0">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86582D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C40B0">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1C1A95D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C40B0">
              <w:rPr>
                <w:rFonts w:ascii="Calibri" w:eastAsia="Times New Roman" w:hAnsi="Calibri" w:cs="Calibri"/>
                <w:kern w:val="0"/>
                <w:lang w:eastAsia="en-GB"/>
                <w14:ligatures w14:val="none"/>
              </w:rPr>
              <w:t xml:space="preserve"> 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4115FFA0" w:rsidR="00343937" w:rsidRPr="00CF2E7C" w:rsidRDefault="004870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5A94B0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870A1">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60EC0BF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870A1">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2D81A03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870A1">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299C426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05963BBE" w:rsidR="00343937" w:rsidRPr="00CF2E7C" w:rsidRDefault="00F911A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16A3CC1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911A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1166BD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4870A1">
        <w:trPr>
          <w:trHeight w:val="123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1A31EA" w14:textId="77777777" w:rsidR="00F911A6" w:rsidRDefault="00F911A6" w:rsidP="00CF2E7C">
            <w:pPr>
              <w:textAlignment w:val="baseline"/>
              <w:rPr>
                <w:rFonts w:ascii="Calibri" w:eastAsia="Times New Roman" w:hAnsi="Calibri" w:cs="Calibri"/>
                <w:kern w:val="0"/>
                <w:lang w:eastAsia="en-GB"/>
                <w14:ligatures w14:val="none"/>
              </w:rPr>
            </w:pPr>
            <w:r w:rsidRPr="00F911A6">
              <w:rPr>
                <w:rFonts w:ascii="Calibri" w:eastAsia="Times New Roman" w:hAnsi="Calibri" w:cs="Calibri"/>
                <w:kern w:val="0"/>
                <w:lang w:eastAsia="en-GB"/>
                <w14:ligatures w14:val="none"/>
              </w:rPr>
              <w:t xml:space="preserve">The Regulation states: </w:t>
            </w:r>
            <w:r w:rsidR="006B56D9" w:rsidRPr="00F43947">
              <w:rPr>
                <w:rFonts w:ascii="Calibri" w:eastAsia="Times New Roman" w:hAnsi="Calibri" w:cs="Calibri"/>
                <w:i/>
                <w:iCs/>
                <w:kern w:val="0"/>
                <w:lang w:eastAsia="en-GB"/>
                <w14:ligatures w14:val="none"/>
              </w:rPr>
              <w:t>''The Union registry shall use automated systems, including electronic templates, to make publicly accessible in a secure way the information related to the certification process, including the certificates of compliance and updated certificates of compliance, to enable the tracing of the quantity of certified units and avoid double counting.''</w:t>
            </w:r>
            <w:r w:rsidR="006B56D9">
              <w:rPr>
                <w:rFonts w:ascii="Calibri" w:eastAsia="Times New Roman" w:hAnsi="Calibri" w:cs="Calibri"/>
                <w:kern w:val="0"/>
                <w:lang w:eastAsia="en-GB"/>
                <w14:ligatures w14:val="none"/>
              </w:rPr>
              <w:t xml:space="preserve"> (Article 12(1) Regulation 2024/3012).</w:t>
            </w:r>
            <w:r>
              <w:rPr>
                <w:rFonts w:ascii="Calibri" w:eastAsia="Times New Roman" w:hAnsi="Calibri" w:cs="Calibri"/>
                <w:kern w:val="0"/>
                <w:lang w:eastAsia="en-GB"/>
                <w14:ligatures w14:val="none"/>
              </w:rPr>
              <w:t xml:space="preserve"> </w:t>
            </w:r>
          </w:p>
          <w:p w14:paraId="4878BF58" w14:textId="6A409FC0" w:rsidR="006B56D9" w:rsidRPr="00CF2E7C" w:rsidRDefault="00F911A6" w:rsidP="00F911A6">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It also considers: </w:t>
            </w:r>
            <w:r w:rsidR="006B56D9" w:rsidRPr="00F43947">
              <w:rPr>
                <w:rFonts w:ascii="Calibri" w:eastAsia="Times New Roman" w:hAnsi="Calibri" w:cs="Calibri"/>
                <w:i/>
                <w:iCs/>
                <w:kern w:val="0"/>
                <w:lang w:eastAsia="en-GB"/>
                <w14:ligatures w14:val="none"/>
              </w:rPr>
              <w:t>''All carbon removals and soil emission reductions certified under the Union certification framework should contribute to the achievement of the Union’s nationally determined contribution (NDC) and its climate objectives. Therefore, in order to avoid double counting, those carbon removals and soil emission reductions should not contribute to third-party NDCs or international compliance schemes.''</w:t>
            </w:r>
            <w:r w:rsidR="006B56D9">
              <w:rPr>
                <w:rFonts w:ascii="Calibri" w:eastAsia="Times New Roman" w:hAnsi="Calibri" w:cs="Calibri"/>
                <w:kern w:val="0"/>
                <w:lang w:eastAsia="en-GB"/>
                <w14:ligatures w14:val="none"/>
              </w:rPr>
              <w:t xml:space="preserve"> (Consideration 3, Regulation 2024/3012).</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0AEEE30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67DF9">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0987A42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67DF9">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33B189F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67DF9">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0F73B5B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F67CE">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2C44AC2"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76882F85" w:rsidR="000A6F11" w:rsidRPr="00CF2E7C" w:rsidRDefault="00067DF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6D73E8C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67DF9">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5B4CF53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EA3019">
              <w:rPr>
                <w:rFonts w:ascii="Calibri" w:eastAsia="Times New Roman" w:hAnsi="Calibri" w:cs="Calibri"/>
                <w:kern w:val="0"/>
                <w:lang w:val="en-US"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32686FA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EA3019">
              <w:rPr>
                <w:rFonts w:ascii="Calibri" w:eastAsia="Times New Roman" w:hAnsi="Calibri" w:cs="Calibri"/>
                <w:kern w:val="0"/>
                <w:lang w:val="en-US"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6B908C1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3019">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5209F02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EA3019">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3A7E9A3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A3019">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2D1284D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A3019">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624FDE5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EA3019">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243407C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3019">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25EE608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EA3019">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7CB96C1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66BE8C19" w:rsidR="00047A9C" w:rsidRPr="00CF2E7C" w:rsidRDefault="0038197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6575EFB6" w:rsidR="00067DF9" w:rsidRPr="00381979" w:rsidRDefault="00093F52" w:rsidP="00093F52">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Certification is recommended in specific circumstances. For certification bodies, the Regulation provides in a</w:t>
            </w:r>
            <w:r w:rsidR="00067DF9" w:rsidRPr="00381979">
              <w:rPr>
                <w:rFonts w:ascii="Calibri" w:eastAsia="Times New Roman" w:hAnsi="Calibri" w:cs="Calibri"/>
                <w:kern w:val="0"/>
                <w:lang w:eastAsia="en-GB"/>
                <w14:ligatures w14:val="none"/>
              </w:rPr>
              <w:t>rticle 10(1)</w:t>
            </w:r>
            <w:r>
              <w:rPr>
                <w:rFonts w:ascii="Calibri" w:eastAsia="Times New Roman" w:hAnsi="Calibri" w:cs="Calibri"/>
                <w:kern w:val="0"/>
                <w:lang w:eastAsia="en-GB"/>
                <w14:ligatures w14:val="none"/>
              </w:rPr>
              <w:t xml:space="preserve"> that c</w:t>
            </w:r>
            <w:r w:rsidR="00067DF9" w:rsidRPr="00381979">
              <w:rPr>
                <w:rFonts w:ascii="Calibri" w:eastAsia="Times New Roman" w:hAnsi="Calibri" w:cs="Calibri"/>
                <w:kern w:val="0"/>
                <w:lang w:eastAsia="en-GB"/>
                <w14:ligatures w14:val="none"/>
              </w:rPr>
              <w:t>ertification bodies must be accredited by a national accreditation body pursuant to Regulation (EC) No 765/2008 or be recognised by a national competent authority.</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4C71EEB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52634">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436E79F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F792B">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2BC1296"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64F7031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52634">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61E5EAE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52634">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33E1E8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52634">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14F6CE4" w14:textId="50C24DE1" w:rsidR="00047A9C" w:rsidRDefault="004A4122" w:rsidP="00CF2E7C">
            <w:pPr>
              <w:textAlignment w:val="baseline"/>
              <w:rPr>
                <w:rFonts w:ascii="Calibri" w:eastAsia="Times New Roman" w:hAnsi="Calibri" w:cs="Calibri"/>
                <w:i/>
                <w:iCs/>
                <w:kern w:val="0"/>
                <w:lang w:eastAsia="en-GB"/>
                <w14:ligatures w14:val="none"/>
              </w:rPr>
            </w:pPr>
            <w:r>
              <w:rPr>
                <w:rFonts w:ascii="Calibri" w:eastAsia="Times New Roman" w:hAnsi="Calibri" w:cs="Calibri"/>
                <w:kern w:val="0"/>
                <w:lang w:eastAsia="en-GB"/>
                <w14:ligatures w14:val="none"/>
              </w:rPr>
              <w:t xml:space="preserve">Consideration 14, Regulation 2024/3012: </w:t>
            </w:r>
            <w:r w:rsidR="006A25C8" w:rsidRPr="006A25C8">
              <w:rPr>
                <w:rFonts w:ascii="Calibri" w:eastAsia="Times New Roman" w:hAnsi="Calibri" w:cs="Calibri"/>
                <w:i/>
                <w:iCs/>
                <w:kern w:val="0"/>
                <w:lang w:eastAsia="en-GB"/>
                <w14:ligatures w14:val="none"/>
              </w:rPr>
              <w:t>''The certification methodologies should establish standardised baselines which should be highly representative of the standard performance of comparable practices and processes in similar social, economic, environmental, regulatory and technological circumstances and take into account the geographical context, including local pedoclimatic and regulatory conditions. This approach to establishing the standardised baselines should be preferred because it ensures objectivity, minimises compliance and other administrative costs, and recognises positively the action of first movers who have already engaged in eligible activities. In the context of carbon farming</w:t>
            </w:r>
            <w:r w:rsidR="006A25C8" w:rsidRPr="00093F52">
              <w:rPr>
                <w:rFonts w:ascii="Calibri" w:eastAsia="Times New Roman" w:hAnsi="Calibri" w:cs="Calibri"/>
                <w:i/>
                <w:iCs/>
                <w:kern w:val="0"/>
                <w:lang w:eastAsia="en-GB"/>
                <w14:ligatures w14:val="none"/>
              </w:rPr>
              <w:t xml:space="preserve">, </w:t>
            </w:r>
            <w:r w:rsidR="006A25C8" w:rsidRPr="00093F52">
              <w:rPr>
                <w:rFonts w:ascii="Calibri" w:eastAsia="Times New Roman" w:hAnsi="Calibri" w:cs="Calibri"/>
                <w:i/>
                <w:iCs/>
                <w:kern w:val="0"/>
                <w:u w:val="single"/>
                <w:lang w:eastAsia="en-GB"/>
                <w14:ligatures w14:val="none"/>
              </w:rPr>
              <w:t>only practices and processes that go beyond the common practice should be certified</w:t>
            </w:r>
            <w:r w:rsidR="006A25C8" w:rsidRPr="00093F52">
              <w:rPr>
                <w:rFonts w:ascii="Calibri" w:eastAsia="Times New Roman" w:hAnsi="Calibri" w:cs="Calibri"/>
                <w:i/>
                <w:iCs/>
                <w:kern w:val="0"/>
                <w:lang w:eastAsia="en-GB"/>
                <w14:ligatures w14:val="none"/>
              </w:rPr>
              <w:t>.</w:t>
            </w:r>
            <w:r w:rsidR="006A25C8" w:rsidRPr="006A25C8">
              <w:rPr>
                <w:rFonts w:ascii="Calibri" w:eastAsia="Times New Roman" w:hAnsi="Calibri" w:cs="Calibri"/>
                <w:i/>
                <w:iCs/>
                <w:kern w:val="0"/>
                <w:lang w:eastAsia="en-GB"/>
                <w14:ligatures w14:val="none"/>
              </w:rPr>
              <w:t xml:space="preserve"> Therefore, a specific carbon farming activity should not be rewarded if it is already widely adopted within a region with similar pedoclimatic and regulatory conditions. The standardised baselines should ensure that, </w:t>
            </w:r>
            <w:r w:rsidR="006A25C8" w:rsidRPr="00093F52">
              <w:rPr>
                <w:rFonts w:ascii="Calibri" w:eastAsia="Times New Roman" w:hAnsi="Calibri" w:cs="Calibri"/>
                <w:i/>
                <w:iCs/>
                <w:kern w:val="0"/>
                <w:lang w:eastAsia="en-GB"/>
                <w14:ligatures w14:val="none"/>
              </w:rPr>
              <w:t>once an activity becomes the common practice, such activity can no longer be certified. To that end, the Commission should review at least every five years and update, where appropriate, the standardised baselines in light of evolving regulatory circumstances and of the latest available scientific evidence, to reflect social, economic, environmental, regulatory and technological developments and to encourage increased ambition over time in line with the Paris Agreement.</w:t>
            </w:r>
          </w:p>
          <w:p w14:paraId="448BABB9" w14:textId="07CD428C" w:rsidR="001D16A6" w:rsidRDefault="001D16A6" w:rsidP="00CF2E7C">
            <w:pPr>
              <w:textAlignment w:val="baseline"/>
              <w:rPr>
                <w:rFonts w:ascii="Calibri" w:eastAsia="Times New Roman" w:hAnsi="Calibri" w:cs="Calibri"/>
                <w:i/>
                <w:iCs/>
                <w:kern w:val="0"/>
                <w:lang w:eastAsia="en-GB"/>
                <w14:ligatures w14:val="none"/>
              </w:rPr>
            </w:pPr>
            <w:r>
              <w:rPr>
                <w:rFonts w:ascii="Calibri" w:eastAsia="Times New Roman" w:hAnsi="Calibri" w:cs="Calibri"/>
                <w:i/>
                <w:iCs/>
                <w:kern w:val="0"/>
                <w:lang w:eastAsia="en-GB"/>
                <w14:ligatures w14:val="none"/>
              </w:rPr>
              <w:t>(…)</w:t>
            </w:r>
          </w:p>
          <w:p w14:paraId="752E47D6" w14:textId="6864CC40" w:rsidR="001D16A6" w:rsidRDefault="001D16A6" w:rsidP="00CF2E7C">
            <w:pPr>
              <w:textAlignment w:val="baseline"/>
              <w:rPr>
                <w:rFonts w:ascii="Calibri" w:eastAsia="Times New Roman" w:hAnsi="Calibri" w:cs="Calibri"/>
                <w:i/>
                <w:iCs/>
                <w:kern w:val="0"/>
                <w:lang w:eastAsia="en-GB"/>
                <w14:ligatures w14:val="none"/>
              </w:rPr>
            </w:pPr>
            <w:r w:rsidRPr="001D16A6">
              <w:rPr>
                <w:rFonts w:ascii="Calibri" w:eastAsia="Times New Roman" w:hAnsi="Calibri" w:cs="Calibri"/>
                <w:i/>
                <w:iCs/>
                <w:kern w:val="0"/>
                <w:lang w:eastAsia="en-GB"/>
                <w14:ligatures w14:val="none"/>
              </w:rPr>
              <w:t>However, where it is not possible to set such standardised baselines,</w:t>
            </w:r>
            <w:r w:rsidRPr="00093F52">
              <w:rPr>
                <w:rFonts w:ascii="Calibri" w:eastAsia="Times New Roman" w:hAnsi="Calibri" w:cs="Calibri"/>
                <w:i/>
                <w:iCs/>
                <w:kern w:val="0"/>
                <w:u w:val="single"/>
                <w:lang w:eastAsia="en-GB"/>
                <w14:ligatures w14:val="none"/>
              </w:rPr>
              <w:t xml:space="preserve"> an activity-specific baseline based on the operator’s individual performance should be used</w:t>
            </w:r>
            <w:r w:rsidRPr="001D16A6">
              <w:rPr>
                <w:rFonts w:ascii="Calibri" w:eastAsia="Times New Roman" w:hAnsi="Calibri" w:cs="Calibri"/>
                <w:i/>
                <w:iCs/>
                <w:kern w:val="0"/>
                <w:lang w:eastAsia="en-GB"/>
                <w14:ligatures w14:val="none"/>
              </w:rPr>
              <w:t>. The activity-specific baselines should be updated by the operator at the beginning of each activity period, unless otherwise stated in the applicable certification methodologies.</w:t>
            </w:r>
            <w:r>
              <w:rPr>
                <w:rFonts w:ascii="Calibri" w:eastAsia="Times New Roman" w:hAnsi="Calibri" w:cs="Calibri"/>
                <w:i/>
                <w:iCs/>
                <w:kern w:val="0"/>
                <w:lang w:eastAsia="en-GB"/>
                <w14:ligatures w14:val="none"/>
              </w:rPr>
              <w:t>''</w:t>
            </w:r>
          </w:p>
          <w:p w14:paraId="29357060" w14:textId="6B801BF6" w:rsidR="001E508D" w:rsidRPr="001E508D" w:rsidRDefault="00093F52" w:rsidP="00093F52">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Reference is forther made to </w:t>
            </w:r>
            <w:r w:rsidR="00810EC7">
              <w:rPr>
                <w:rFonts w:ascii="Calibri" w:eastAsia="Times New Roman" w:hAnsi="Calibri" w:cs="Calibri"/>
                <w:kern w:val="0"/>
                <w:lang w:eastAsia="en-GB"/>
                <w14:ligatures w14:val="none"/>
              </w:rPr>
              <w:t>art. 4 and 5 of the Regulation.</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D02E1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B1DF1">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21A3679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16CD">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4DBDF2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7546">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0AFB3DC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7546">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67A5450" w14:textId="79DF53B9" w:rsidR="00047A9C" w:rsidRPr="00093F52" w:rsidRDefault="00C074AC" w:rsidP="00CF2E7C">
            <w:pPr>
              <w:textAlignment w:val="baseline"/>
              <w:rPr>
                <w:rFonts w:ascii="Calibri" w:eastAsia="Times New Roman" w:hAnsi="Calibri" w:cs="Calibri"/>
                <w:i/>
                <w:iCs/>
                <w:kern w:val="0"/>
                <w:lang w:eastAsia="en-GB"/>
                <w14:ligatures w14:val="none"/>
              </w:rPr>
            </w:pPr>
            <w:r w:rsidRPr="00093F52">
              <w:rPr>
                <w:rFonts w:ascii="Calibri" w:eastAsia="Times New Roman" w:hAnsi="Calibri" w:cs="Calibri"/>
                <w:kern w:val="0"/>
                <w:lang w:eastAsia="en-GB"/>
                <w14:ligatures w14:val="none"/>
              </w:rPr>
              <w:t xml:space="preserve">Art. </w:t>
            </w:r>
            <w:r w:rsidR="0004754B" w:rsidRPr="00093F52">
              <w:rPr>
                <w:rFonts w:ascii="Calibri" w:eastAsia="Times New Roman" w:hAnsi="Calibri" w:cs="Calibri"/>
                <w:kern w:val="0"/>
                <w:lang w:eastAsia="en-GB"/>
                <w14:ligatures w14:val="none"/>
              </w:rPr>
              <w:t>6(5):</w:t>
            </w:r>
            <w:r w:rsidR="0004754B" w:rsidRPr="00093F52">
              <w:rPr>
                <w:rFonts w:ascii="Calibri" w:eastAsia="Times New Roman" w:hAnsi="Calibri" w:cs="Calibri"/>
                <w:i/>
                <w:iCs/>
                <w:kern w:val="0"/>
                <w:lang w:eastAsia="en-GB"/>
                <w14:ligatures w14:val="none"/>
              </w:rPr>
              <w:t xml:space="preserve"> </w:t>
            </w:r>
            <w:r w:rsidR="00CF4347" w:rsidRPr="00093F52">
              <w:rPr>
                <w:rFonts w:ascii="Calibri" w:eastAsia="Times New Roman" w:hAnsi="Calibri" w:cs="Calibri"/>
                <w:i/>
                <w:iCs/>
                <w:kern w:val="0"/>
                <w:lang w:eastAsia="en-GB"/>
                <w14:ligatures w14:val="none"/>
              </w:rPr>
              <w:t>''The carbon removed and subsequently stored by a carbon removal activity shall be considered released into the atmosphere at the end of the monitoring period, unless that monitoring period is prolonged through a new certification of the activity or the carbon is stored permanently pursuant to paragraph 3, points (a) and (b), and paragraph 4, points (a) and (b).''</w:t>
            </w:r>
          </w:p>
          <w:p w14:paraId="0FE0C2C7" w14:textId="6A5C3122" w:rsidR="00CF4347" w:rsidRPr="00093F52" w:rsidRDefault="00C074AC" w:rsidP="00CF2E7C">
            <w:pPr>
              <w:textAlignment w:val="baseline"/>
              <w:rPr>
                <w:rFonts w:ascii="Calibri" w:eastAsia="Times New Roman" w:hAnsi="Calibri" w:cs="Calibri"/>
                <w:kern w:val="0"/>
                <w:lang w:eastAsia="en-GB"/>
                <w14:ligatures w14:val="none"/>
              </w:rPr>
            </w:pPr>
            <w:r w:rsidRPr="00093F52">
              <w:rPr>
                <w:rFonts w:ascii="Calibri" w:eastAsia="Times New Roman" w:hAnsi="Calibri" w:cs="Calibri"/>
                <w:kern w:val="0"/>
                <w:lang w:eastAsia="en-GB"/>
                <w14:ligatures w14:val="none"/>
              </w:rPr>
              <w:t>Consideration 22, Regulation 2024/3012:</w:t>
            </w:r>
            <w:r w:rsidRPr="00093F52">
              <w:rPr>
                <w:rFonts w:ascii="Calibri" w:eastAsia="Times New Roman" w:hAnsi="Calibri" w:cs="Calibri"/>
                <w:i/>
                <w:iCs/>
                <w:kern w:val="0"/>
                <w:lang w:eastAsia="en-GB"/>
                <w14:ligatures w14:val="none"/>
              </w:rPr>
              <w:t xml:space="preserve"> ''Carbon farming and carbon storage in products are more exposed to the risk of voluntary or involuntary release of carbon into the atmosphere. To account for that risk, the validity of the carbon farming sequestration unit and the carbon storage in product unit should be subject to an expiry date coinciding with the end of the </w:t>
            </w:r>
            <w:r w:rsidRPr="00093F52">
              <w:rPr>
                <w:rFonts w:ascii="Calibri" w:eastAsia="Times New Roman" w:hAnsi="Calibri" w:cs="Calibri"/>
                <w:i/>
                <w:iCs/>
                <w:kern w:val="0"/>
                <w:u w:val="single"/>
                <w:lang w:eastAsia="en-GB"/>
                <w14:ligatures w14:val="none"/>
              </w:rPr>
              <w:t>relevant monitoring period, which should cover at least 35 years for carbon storage in products</w:t>
            </w:r>
            <w:r w:rsidRPr="00093F52">
              <w:rPr>
                <w:rFonts w:ascii="Calibri" w:eastAsia="Times New Roman" w:hAnsi="Calibri" w:cs="Calibri"/>
                <w:i/>
                <w:iCs/>
                <w:kern w:val="0"/>
                <w:lang w:eastAsia="en-GB"/>
                <w14:ligatures w14:val="none"/>
              </w:rPr>
              <w:t>. Thereafter, the carbon captured and stored should be considered released into the atmosphere, unless the operator or group of operators commits to prolonging the monitoring period.''</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0A7979B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102BA2A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3F52">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10AD18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05C67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3F52">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1B5607A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0384D56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3F52">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5619DC1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41844">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391E624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41844">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5DAC656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41844">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2B6FD54" w14:textId="2AC133A7" w:rsidR="00047A9C" w:rsidRDefault="00741844" w:rsidP="00CF2E7C">
            <w:pPr>
              <w:textAlignment w:val="baseline"/>
              <w:rPr>
                <w:rFonts w:ascii="Calibri" w:eastAsia="Times New Roman" w:hAnsi="Calibri" w:cs="Calibri"/>
                <w:i/>
                <w:iCs/>
                <w:kern w:val="0"/>
                <w:lang w:eastAsia="en-GB"/>
                <w14:ligatures w14:val="none"/>
              </w:rPr>
            </w:pPr>
            <w:r>
              <w:rPr>
                <w:rFonts w:ascii="Calibri" w:eastAsia="Times New Roman" w:hAnsi="Calibri" w:cs="Calibri"/>
                <w:kern w:val="0"/>
                <w:lang w:eastAsia="en-GB"/>
                <w14:ligatures w14:val="none"/>
              </w:rPr>
              <w:t xml:space="preserve">The </w:t>
            </w:r>
            <w:r w:rsidR="00093F52">
              <w:rPr>
                <w:rFonts w:ascii="Calibri" w:eastAsia="Times New Roman" w:hAnsi="Calibri" w:cs="Calibri"/>
                <w:kern w:val="0"/>
                <w:lang w:eastAsia="en-GB"/>
                <w14:ligatures w14:val="none"/>
              </w:rPr>
              <w:t>R</w:t>
            </w:r>
            <w:r>
              <w:rPr>
                <w:rFonts w:ascii="Calibri" w:eastAsia="Times New Roman" w:hAnsi="Calibri" w:cs="Calibri"/>
                <w:kern w:val="0"/>
                <w:lang w:eastAsia="en-GB"/>
                <w14:ligatures w14:val="none"/>
              </w:rPr>
              <w:t>egulation mentions</w:t>
            </w:r>
            <w:r w:rsidR="00E34A8E">
              <w:rPr>
                <w:rFonts w:ascii="Calibri" w:eastAsia="Times New Roman" w:hAnsi="Calibri" w:cs="Calibri"/>
                <w:kern w:val="0"/>
                <w:lang w:eastAsia="en-GB"/>
                <w14:ligatures w14:val="none"/>
              </w:rPr>
              <w:t xml:space="preserve"> </w:t>
            </w:r>
            <w:r w:rsidR="00093F52">
              <w:rPr>
                <w:rFonts w:ascii="Calibri" w:eastAsia="Times New Roman" w:hAnsi="Calibri" w:cs="Calibri"/>
                <w:kern w:val="0"/>
                <w:lang w:eastAsia="en-GB"/>
                <w14:ligatures w14:val="none"/>
              </w:rPr>
              <w:t xml:space="preserve">in </w:t>
            </w:r>
            <w:r w:rsidR="00E34A8E">
              <w:rPr>
                <w:rFonts w:ascii="Calibri" w:eastAsia="Times New Roman" w:hAnsi="Calibri" w:cs="Calibri"/>
                <w:kern w:val="0"/>
                <w:lang w:eastAsia="en-GB"/>
                <w14:ligatures w14:val="none"/>
              </w:rPr>
              <w:t>art.</w:t>
            </w:r>
            <w:r w:rsidR="00693DFC">
              <w:rPr>
                <w:rFonts w:ascii="Calibri" w:eastAsia="Times New Roman" w:hAnsi="Calibri" w:cs="Calibri"/>
                <w:kern w:val="0"/>
                <w:lang w:eastAsia="en-GB"/>
                <w14:ligatures w14:val="none"/>
              </w:rPr>
              <w:t xml:space="preserve"> 6(4)</w:t>
            </w:r>
            <w:r>
              <w:rPr>
                <w:rFonts w:ascii="Calibri" w:eastAsia="Times New Roman" w:hAnsi="Calibri" w:cs="Calibri"/>
                <w:kern w:val="0"/>
                <w:lang w:eastAsia="en-GB"/>
                <w14:ligatures w14:val="none"/>
              </w:rPr>
              <w:t xml:space="preserve">: </w:t>
            </w:r>
            <w:r w:rsidRPr="00F75CFB">
              <w:rPr>
                <w:rFonts w:ascii="Calibri" w:eastAsia="Times New Roman" w:hAnsi="Calibri" w:cs="Calibri"/>
                <w:i/>
                <w:iCs/>
                <w:kern w:val="0"/>
                <w:lang w:eastAsia="en-GB"/>
                <w14:ligatures w14:val="none"/>
              </w:rPr>
              <w:t>''</w:t>
            </w:r>
            <w:r w:rsidR="00F75CFB" w:rsidRPr="00F75CFB">
              <w:rPr>
                <w:rFonts w:ascii="Calibri" w:eastAsia="Times New Roman" w:hAnsi="Calibri" w:cs="Calibri"/>
                <w:i/>
                <w:iCs/>
                <w:kern w:val="0"/>
                <w:lang w:eastAsia="en-GB"/>
                <w14:ligatures w14:val="none"/>
              </w:rPr>
              <w:t>The liability mechanisms referred to in paragraph 2, point (b), shall: (…) (c) for carbon farming and carbon storage in products, be set out and duly justified in the applicable certification methodologies set out in the delegated acts adopted pursuant to Article 8 and may include collective buffers or up-front insurance mechanisms.</w:t>
            </w:r>
          </w:p>
          <w:p w14:paraId="773FCD5C" w14:textId="290E5D63" w:rsidR="009953FA" w:rsidRPr="00E34A8E" w:rsidRDefault="009953FA" w:rsidP="00093F52">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As well as</w:t>
            </w:r>
            <w:r w:rsidR="00E34A8E">
              <w:rPr>
                <w:rFonts w:ascii="Calibri" w:eastAsia="Times New Roman" w:hAnsi="Calibri" w:cs="Calibri"/>
                <w:kern w:val="0"/>
                <w:lang w:eastAsia="en-GB"/>
                <w14:ligatures w14:val="none"/>
              </w:rPr>
              <w:t xml:space="preserve"> (art. 6(2))</w:t>
            </w:r>
            <w:r>
              <w:rPr>
                <w:rFonts w:ascii="Calibri" w:eastAsia="Times New Roman" w:hAnsi="Calibri" w:cs="Calibri"/>
                <w:kern w:val="0"/>
                <w:lang w:eastAsia="en-GB"/>
                <w14:ligatures w14:val="none"/>
              </w:rPr>
              <w:t xml:space="preserve">: </w:t>
            </w:r>
            <w:r w:rsidRPr="00E34A8E">
              <w:rPr>
                <w:rFonts w:ascii="Calibri" w:eastAsia="Times New Roman" w:hAnsi="Calibri" w:cs="Calibri"/>
                <w:i/>
                <w:iCs/>
                <w:kern w:val="0"/>
                <w:lang w:eastAsia="en-GB"/>
                <w14:ligatures w14:val="none"/>
              </w:rPr>
              <w:t>''</w:t>
            </w:r>
            <w:r w:rsidR="00E34A8E" w:rsidRPr="00E34A8E">
              <w:rPr>
                <w:rFonts w:ascii="Calibri" w:eastAsia="Times New Roman" w:hAnsi="Calibri" w:cs="Calibri"/>
                <w:i/>
                <w:iCs/>
                <w:kern w:val="0"/>
                <w:lang w:eastAsia="en-GB"/>
                <w14:ligatures w14:val="none"/>
              </w:rPr>
              <w:t>For the purposes of paragraph 1, an operator or group of operators shall be:</w:t>
            </w:r>
            <w:r w:rsidR="00093F52">
              <w:rPr>
                <w:rFonts w:ascii="Calibri" w:eastAsia="Times New Roman" w:hAnsi="Calibri" w:cs="Calibri"/>
                <w:i/>
                <w:iCs/>
                <w:kern w:val="0"/>
                <w:lang w:eastAsia="en-GB"/>
                <w14:ligatures w14:val="none"/>
              </w:rPr>
              <w:t xml:space="preserve"> (a) </w:t>
            </w:r>
            <w:r w:rsidR="00E34A8E" w:rsidRPr="00E34A8E">
              <w:rPr>
                <w:rFonts w:ascii="Calibri" w:eastAsia="Times New Roman" w:hAnsi="Calibri" w:cs="Calibri"/>
                <w:i/>
                <w:iCs/>
                <w:kern w:val="0"/>
                <w:lang w:eastAsia="en-GB"/>
                <w14:ligatures w14:val="none"/>
              </w:rPr>
              <w:t>subject to monitoring rules and rules on the mitigation of any identified risks of reversal occurring during the monitoring period.''</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D61195B" w:rsidR="00DD694D" w:rsidRPr="00CF2E7C" w:rsidRDefault="0060682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35B83F27" w14:textId="77777777" w:rsidR="00DD694D" w:rsidRDefault="004E70AE" w:rsidP="00CF2E7C">
            <w:pPr>
              <w:textAlignment w:val="baseline"/>
              <w:rPr>
                <w:rFonts w:ascii="Calibri" w:eastAsia="Times New Roman" w:hAnsi="Calibri" w:cs="Calibri"/>
                <w:i/>
                <w:iCs/>
                <w:kern w:val="0"/>
                <w:lang w:eastAsia="en-GB"/>
                <w14:ligatures w14:val="none"/>
              </w:rPr>
            </w:pPr>
            <w:r>
              <w:rPr>
                <w:rFonts w:ascii="Calibri" w:eastAsia="Times New Roman" w:hAnsi="Calibri" w:cs="Calibri"/>
                <w:kern w:val="0"/>
                <w:lang w:eastAsia="en-GB"/>
                <w14:ligatures w14:val="none"/>
              </w:rPr>
              <w:t xml:space="preserve">Art. 4(12): </w:t>
            </w:r>
            <w:r w:rsidRPr="00EF25BB">
              <w:rPr>
                <w:rFonts w:ascii="Calibri" w:eastAsia="Times New Roman" w:hAnsi="Calibri" w:cs="Calibri"/>
                <w:i/>
                <w:iCs/>
                <w:kern w:val="0"/>
                <w:lang w:eastAsia="en-GB"/>
                <w14:ligatures w14:val="none"/>
              </w:rPr>
              <w:t>''</w:t>
            </w:r>
            <w:r w:rsidR="00EF25BB" w:rsidRPr="00EF25BB">
              <w:rPr>
                <w:rFonts w:ascii="Calibri" w:eastAsia="Times New Roman" w:hAnsi="Calibri" w:cs="Calibri"/>
                <w:i/>
                <w:iCs/>
                <w:kern w:val="0"/>
                <w:lang w:eastAsia="en-GB"/>
                <w14:ligatures w14:val="none"/>
              </w:rPr>
              <w:t>The quantification of permanent carbon removals, temporary carbon removals through carbon farming and carbon storage in products, and soil emission reductions shall account for uncertainties in a conservative manner and in accordance with recognised statistical approaches. Uncertainties in the quantification of carbon removals and soil emission reductions shall be duly reported.''</w:t>
            </w:r>
          </w:p>
          <w:p w14:paraId="6DA0FF53" w14:textId="77777777" w:rsidR="00EF25BB" w:rsidRDefault="00EF25BB" w:rsidP="00CF2E7C">
            <w:pPr>
              <w:textAlignment w:val="baseline"/>
              <w:rPr>
                <w:rFonts w:ascii="Calibri" w:eastAsia="Times New Roman" w:hAnsi="Calibri" w:cs="Calibri"/>
                <w:i/>
                <w:iCs/>
                <w:kern w:val="0"/>
                <w:lang w:eastAsia="en-GB"/>
                <w14:ligatures w14:val="none"/>
              </w:rPr>
            </w:pPr>
          </w:p>
          <w:p w14:paraId="4073F913" w14:textId="419ED2CF" w:rsidR="00EF25BB" w:rsidRPr="00EF25BB" w:rsidRDefault="00EF25BB" w:rsidP="00CF2E7C">
            <w:pPr>
              <w:textAlignment w:val="baseline"/>
              <w:rPr>
                <w:rFonts w:ascii="Calibri" w:eastAsia="Times New Roman" w:hAnsi="Calibri" w:cs="Calibri"/>
                <w:kern w:val="0"/>
                <w:lang w:eastAsia="en-GB"/>
                <w14:ligatures w14:val="none"/>
              </w:rPr>
            </w:pPr>
            <w:r w:rsidRPr="00EF25BB">
              <w:rPr>
                <w:rFonts w:ascii="Calibri" w:eastAsia="Times New Roman" w:hAnsi="Calibri" w:cs="Calibri"/>
                <w:kern w:val="0"/>
                <w:lang w:eastAsia="en-GB"/>
                <w14:ligatures w14:val="none"/>
              </w:rPr>
              <w:t>Art. 4(13):</w:t>
            </w:r>
            <w:r>
              <w:rPr>
                <w:rFonts w:ascii="Calibri" w:eastAsia="Times New Roman" w:hAnsi="Calibri" w:cs="Calibri"/>
                <w:kern w:val="0"/>
                <w:lang w:eastAsia="en-GB"/>
                <w14:ligatures w14:val="none"/>
              </w:rPr>
              <w:t xml:space="preserve"> </w:t>
            </w:r>
            <w:r w:rsidRPr="00EF25BB">
              <w:rPr>
                <w:rFonts w:ascii="Calibri" w:eastAsia="Times New Roman" w:hAnsi="Calibri" w:cs="Calibri"/>
                <w:i/>
                <w:iCs/>
                <w:kern w:val="0"/>
                <w:lang w:eastAsia="en-GB"/>
                <w14:ligatures w14:val="none"/>
              </w:rPr>
              <w:t>''To support the quantification of temporary carbon removals and soil emission reductions generated by a carbon farming activity, the operator or group of operators shall, where feasible, gather data on carbon removals and greenhouse gas emissions based on the use of tier 3 methodologies in accordance with the 2006 IPCC Guidelines for National Greenhouse Gas Inventories and the refinements to these 2006 IPCC Guidelines, and in a manner compatible with national greenhouse gas inventories under Regulation (EU) 2018/841 and Part 3 of Annex V to Regulation (EU) 2018/1999.''</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D7F03A" w14:textId="7A5FC27B" w:rsidR="00DD694D"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8168F0">
              <w:rPr>
                <w:rFonts w:ascii="Calibri" w:eastAsia="Times New Roman" w:hAnsi="Calibri" w:cs="Calibri"/>
                <w:kern w:val="0"/>
                <w:lang w:eastAsia="en-GB"/>
                <w14:ligatures w14:val="none"/>
              </w:rPr>
              <w:t>X</w:t>
            </w:r>
          </w:p>
          <w:p w14:paraId="238DC489" w14:textId="19AAABCE" w:rsidR="008168F0" w:rsidRPr="00CF2E7C" w:rsidRDefault="008168F0" w:rsidP="00CF2E7C">
            <w:pPr>
              <w:textAlignment w:val="baseline"/>
              <w:rPr>
                <w:rFonts w:ascii="Calibri" w:eastAsia="Times New Roman" w:hAnsi="Calibri" w:cs="Calibri"/>
                <w:kern w:val="0"/>
                <w:lang w:eastAsia="en-GB"/>
                <w14:ligatures w14:val="none"/>
              </w:rPr>
            </w:pP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6590AD9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8168F0">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694420D9" w:rsidR="00DD694D" w:rsidRPr="00CF2E7C" w:rsidRDefault="008168F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X</w:t>
            </w:r>
            <w:r w:rsidR="00DD694D" w:rsidRPr="00CF2E7C">
              <w:rPr>
                <w:rFonts w:ascii="Calibri" w:eastAsia="Times New Roman" w:hAnsi="Calibri" w:cs="Calibri"/>
                <w:kern w:val="0"/>
                <w:lang w:val="en-US" w:eastAsia="en-GB"/>
                <w14:ligatures w14:val="none"/>
              </w:rPr>
              <w:t> </w:t>
            </w:r>
            <w:r w:rsidR="00DD694D"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46B4DFF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47794F">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499AAE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442AF">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463DCF6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442AF">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00B1CC8F" w:rsidR="00FE7FA5" w:rsidRPr="00CF2E7C" w:rsidRDefault="00B9512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400148E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1C4F11B" w14:textId="49E20E5F" w:rsidR="00972F15" w:rsidRPr="00093F52" w:rsidRDefault="00093F52" w:rsidP="00972F15">
            <w:pPr>
              <w:textAlignment w:val="baseline"/>
              <w:rPr>
                <w:rFonts w:ascii="Calibri" w:eastAsia="Times New Roman" w:hAnsi="Calibri" w:cs="Calibri"/>
                <w:i/>
                <w:iCs/>
                <w:kern w:val="0"/>
                <w:lang w:eastAsia="en-GB"/>
                <w14:ligatures w14:val="none"/>
              </w:rPr>
            </w:pPr>
            <w:r>
              <w:rPr>
                <w:rFonts w:ascii="Calibri" w:eastAsia="Times New Roman" w:hAnsi="Calibri" w:cs="Calibri"/>
                <w:kern w:val="0"/>
                <w:lang w:eastAsia="en-GB"/>
                <w14:ligatures w14:val="none"/>
              </w:rPr>
              <w:t xml:space="preserve">The Regulation provides in </w:t>
            </w:r>
            <w:r w:rsidR="00972F15">
              <w:rPr>
                <w:rFonts w:ascii="Calibri" w:eastAsia="Times New Roman" w:hAnsi="Calibri" w:cs="Calibri"/>
                <w:kern w:val="0"/>
                <w:lang w:eastAsia="en-GB"/>
                <w14:ligatures w14:val="none"/>
              </w:rPr>
              <w:t xml:space="preserve">art. 12(2): </w:t>
            </w:r>
            <w:r w:rsidR="00972F15" w:rsidRPr="00972F15">
              <w:rPr>
                <w:rFonts w:ascii="Calibri" w:eastAsia="Times New Roman" w:hAnsi="Calibri" w:cs="Calibri"/>
                <w:i/>
                <w:iCs/>
                <w:kern w:val="0"/>
                <w:lang w:eastAsia="en-GB"/>
                <w14:ligatures w14:val="none"/>
              </w:rPr>
              <w:t>''</w:t>
            </w:r>
            <w:r w:rsidR="00972F15" w:rsidRPr="00093F52">
              <w:rPr>
                <w:rFonts w:ascii="Calibri" w:eastAsia="Times New Roman" w:hAnsi="Calibri" w:cs="Calibri"/>
                <w:i/>
                <w:iCs/>
                <w:kern w:val="0"/>
                <w:lang w:eastAsia="en-GB"/>
                <w14:ligatures w14:val="none"/>
              </w:rPr>
              <w:t>The Commission shall adopt delegated acts in accordance with Article 16 to supplement this Article by laying down the necessary requirements concerning the Union registry, including rules to ensure sufficient oversight of the trading of certified units, and the factors to be considered for determining the level of fees referred to in paragraph 1 of this Article and their recovery.</w:t>
            </w:r>
          </w:p>
          <w:p w14:paraId="2080C3D9" w14:textId="4E34EEB4" w:rsidR="00FE7FA5" w:rsidRPr="00093F52" w:rsidRDefault="00972F15" w:rsidP="00CF2E7C">
            <w:pPr>
              <w:textAlignment w:val="baseline"/>
              <w:rPr>
                <w:rFonts w:ascii="Calibri" w:eastAsia="Times New Roman" w:hAnsi="Calibri" w:cs="Calibri"/>
                <w:kern w:val="0"/>
                <w:lang w:eastAsia="en-GB"/>
                <w14:ligatures w14:val="none"/>
              </w:rPr>
            </w:pPr>
            <w:r w:rsidRPr="00093F52">
              <w:rPr>
                <w:rFonts w:ascii="Calibri" w:eastAsia="Times New Roman" w:hAnsi="Calibri" w:cs="Calibri"/>
                <w:i/>
                <w:iCs/>
                <w:kern w:val="0"/>
                <w:lang w:eastAsia="en-GB"/>
                <w14:ligatures w14:val="none"/>
              </w:rPr>
              <w:t>During each last quarter of the year preceding the calendar year of application, the Commission shall adopt one or more implementing acts to set out or revise the individual amounts of the fees referred to in paragraph 1 of this Article to be applied for that calendar year.''</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1B8586F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492D7C">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6C9828B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92D7C">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245E028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92D7C">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4593514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92D7C">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3FA2DE8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92D7C">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663F959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92D7C">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250225E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92D7C">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553E6D0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92D7C">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6320E41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34A9B">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FDC05F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34A9B">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36DF033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34A9B">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248A5CD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34A9B">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6B19AA5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34A9B">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52A8581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34A9B">
              <w:rPr>
                <w:rFonts w:ascii="Calibri" w:eastAsia="Times New Roman" w:hAnsi="Calibri" w:cs="Calibri"/>
                <w:kern w:val="0"/>
                <w:lang w:eastAsia="en-GB"/>
                <w14:ligatures w14:val="none"/>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4C711A07" w:rsidR="00FE7FA5" w:rsidRPr="009C4D10" w:rsidRDefault="00C92FE8"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ABB4B5E" w:rsidR="00FE7FA5" w:rsidRPr="009C4D10" w:rsidRDefault="00AA6569"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52D0900" w:rsidR="00FE7FA5" w:rsidRPr="009C4D10" w:rsidRDefault="00AA6569"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Consideration 42, Regulation 2024/3012</w:t>
            </w:r>
            <w:r w:rsidR="009566D7">
              <w:rPr>
                <w:rFonts w:eastAsia="Times New Roman" w:cstheme="minorHAnsi"/>
                <w:kern w:val="0"/>
                <w:lang w:eastAsia="en-GB"/>
                <w14:ligatures w14:val="none"/>
              </w:rPr>
              <w:t xml:space="preserve"> provides</w:t>
            </w:r>
            <w:r>
              <w:rPr>
                <w:rFonts w:eastAsia="Times New Roman" w:cstheme="minorHAnsi"/>
                <w:kern w:val="0"/>
                <w:lang w:eastAsia="en-GB"/>
                <w14:ligatures w14:val="none"/>
              </w:rPr>
              <w:t>: ''</w:t>
            </w:r>
            <w:r w:rsidR="00E94C0A" w:rsidRPr="00E94C0A">
              <w:rPr>
                <w:rFonts w:eastAsia="Times New Roman" w:cstheme="minorHAnsi"/>
                <w:kern w:val="0"/>
                <w:lang w:eastAsia="en-GB"/>
                <w14:ligatures w14:val="none"/>
              </w:rPr>
              <w:t xml:space="preserve">It </w:t>
            </w:r>
            <w:r w:rsidR="00E94C0A" w:rsidRPr="009566D7">
              <w:rPr>
                <w:rFonts w:eastAsia="Times New Roman" w:cstheme="minorHAnsi"/>
                <w:i/>
                <w:iCs/>
                <w:kern w:val="0"/>
                <w:lang w:eastAsia="en-GB"/>
                <w14:ligatures w14:val="none"/>
              </w:rPr>
              <w:t xml:space="preserve">is appropriate that certificates of compliance and certified units underpin different end-uses, such as the proof of climate-related and other environmental corporate claims, including in relation to biodiversity, or the exchange of certified units through voluntary carbon markets. </w:t>
            </w:r>
            <w:r w:rsidR="00E94C0A" w:rsidRPr="009566D7">
              <w:rPr>
                <w:rFonts w:eastAsia="Times New Roman" w:cstheme="minorHAnsi"/>
                <w:i/>
                <w:iCs/>
                <w:kern w:val="0"/>
                <w:u w:val="single"/>
                <w:lang w:eastAsia="en-GB"/>
                <w14:ligatures w14:val="none"/>
              </w:rPr>
              <w:t>To that end, the Commission should assess and, where appropriate, present a legislative proposal on the need for additional requirements to align this Regulation with the rules and guidance in Article 6(2) and (4) of the Paris Agreement and with best practices in the voluntary carbon markets</w:t>
            </w:r>
            <w:r w:rsidR="00E94C0A" w:rsidRPr="009566D7">
              <w:rPr>
                <w:rFonts w:eastAsia="Times New Roman" w:cstheme="minorHAnsi"/>
                <w:i/>
                <w:iCs/>
                <w:kern w:val="0"/>
                <w:lang w:eastAsia="en-GB"/>
                <w14:ligatures w14:val="none"/>
              </w:rPr>
              <w:t>. That assessment should compare methodological requirements, including baselines, monitoring periods, activity periods, additionality, leakage, non-permanence and liability, as well as address requirements related to authorisation and corresponding adjustments. It should also determine whether it is appropriate to differentiate end-uses for each type of unit, as well as identify the corresponding requirements for the use of units by private actors or third parties, including for the voluntary carbon markets and international compliance schemes, ensuring consistency with relevant Union legal acts such as Regulations (EU) 2018/1999 and (EU) No 2021/1119, and Directive (EU) 2022/2464 of the European Parliament and of the Council, the registry for internationally transferred mitigation outcomes pursuant to Article 6 of the Paris Agreement referred to in Article 40 of Regulation (EU) 2018/1999 and a future directive on substantiation and communication of explicit environmental claims.</w:t>
            </w:r>
            <w:r w:rsidR="00E94C0A">
              <w:rPr>
                <w:rFonts w:eastAsia="Times New Roman" w:cstheme="minorHAnsi"/>
                <w:kern w:val="0"/>
                <w:lang w:eastAsia="en-GB"/>
                <w14:ligatures w14:val="none"/>
              </w:rPr>
              <w:t>''</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1B45F9" w:rsidP="00CF2E7C">
            <w:pPr>
              <w:rPr>
                <w:rFonts w:cstheme="minorHAnsi"/>
              </w:rPr>
            </w:pPr>
            <w:hyperlink r:id="rId18"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1B45F9" w:rsidP="00CF2E7C">
            <w:pPr>
              <w:rPr>
                <w:rFonts w:cstheme="minorHAnsi"/>
              </w:rPr>
            </w:pPr>
            <w:hyperlink r:id="rId19"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98C753" w14:textId="77777777" w:rsidR="0005147C" w:rsidRDefault="0005147C" w:rsidP="00874E39">
      <w:r>
        <w:separator/>
      </w:r>
    </w:p>
  </w:endnote>
  <w:endnote w:type="continuationSeparator" w:id="0">
    <w:p w14:paraId="63EBD9D8" w14:textId="77777777" w:rsidR="0005147C" w:rsidRDefault="0005147C" w:rsidP="00874E39">
      <w:r>
        <w:continuationSeparator/>
      </w:r>
    </w:p>
  </w:endnote>
  <w:endnote w:type="continuationNotice" w:id="1">
    <w:p w14:paraId="2D4669B5" w14:textId="77777777" w:rsidR="0005147C" w:rsidRDefault="0005147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xmlns:w16sdtfl="http://schemas.microsoft.com/office/word/2024/wordml/sdtformatlock" xmlns:w16du="http://schemas.microsoft.com/office/word/2023/wordml/word16du">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B2C6D5" w14:textId="77777777" w:rsidR="0005147C" w:rsidRDefault="0005147C" w:rsidP="00874E39">
      <w:r>
        <w:separator/>
      </w:r>
    </w:p>
  </w:footnote>
  <w:footnote w:type="continuationSeparator" w:id="0">
    <w:p w14:paraId="6ADE70B0" w14:textId="77777777" w:rsidR="0005147C" w:rsidRDefault="0005147C" w:rsidP="00874E39">
      <w:r>
        <w:continuationSeparator/>
      </w:r>
    </w:p>
  </w:footnote>
  <w:footnote w:type="continuationNotice" w:id="1">
    <w:p w14:paraId="7F07C880" w14:textId="77777777" w:rsidR="0005147C" w:rsidRDefault="0005147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9D5865"/>
    <w:multiLevelType w:val="hybridMultilevel"/>
    <w:tmpl w:val="534E4926"/>
    <w:lvl w:ilvl="0" w:tplc="ED5812B0">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0E90780"/>
    <w:multiLevelType w:val="hybridMultilevel"/>
    <w:tmpl w:val="D92C1326"/>
    <w:lvl w:ilvl="0" w:tplc="149AA468">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3"/>
  </w:num>
  <w:num w:numId="7" w16cid:durableId="566767730">
    <w:abstractNumId w:val="22"/>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21"/>
  </w:num>
  <w:num w:numId="17" w16cid:durableId="1529031027">
    <w:abstractNumId w:val="8"/>
  </w:num>
  <w:num w:numId="18" w16cid:durableId="568614617">
    <w:abstractNumId w:val="19"/>
  </w:num>
  <w:num w:numId="19" w16cid:durableId="1530605858">
    <w:abstractNumId w:val="44"/>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4"/>
  </w:num>
  <w:num w:numId="27" w16cid:durableId="347872198">
    <w:abstractNumId w:val="6"/>
  </w:num>
  <w:num w:numId="28" w16cid:durableId="537133110">
    <w:abstractNumId w:val="12"/>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5"/>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596717800">
    <w:abstractNumId w:val="14"/>
  </w:num>
  <w:num w:numId="50" w16cid:durableId="568736928">
    <w:abstractNumId w:val="1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5"/>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07E81"/>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2AF"/>
    <w:rsid w:val="000449A7"/>
    <w:rsid w:val="000463AE"/>
    <w:rsid w:val="00046B6B"/>
    <w:rsid w:val="0004754B"/>
    <w:rsid w:val="00047A6C"/>
    <w:rsid w:val="00047A9C"/>
    <w:rsid w:val="00050BDF"/>
    <w:rsid w:val="0005147C"/>
    <w:rsid w:val="00052634"/>
    <w:rsid w:val="000526BB"/>
    <w:rsid w:val="00052CA3"/>
    <w:rsid w:val="000555DB"/>
    <w:rsid w:val="0006062B"/>
    <w:rsid w:val="000607C0"/>
    <w:rsid w:val="000609A8"/>
    <w:rsid w:val="00061CCB"/>
    <w:rsid w:val="00062223"/>
    <w:rsid w:val="00062526"/>
    <w:rsid w:val="00062B5B"/>
    <w:rsid w:val="00064195"/>
    <w:rsid w:val="00064FDB"/>
    <w:rsid w:val="00065A4A"/>
    <w:rsid w:val="0006692A"/>
    <w:rsid w:val="00067899"/>
    <w:rsid w:val="00067DF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3F52"/>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5EA5"/>
    <w:rsid w:val="00156468"/>
    <w:rsid w:val="00156AE2"/>
    <w:rsid w:val="00156CD5"/>
    <w:rsid w:val="0015734C"/>
    <w:rsid w:val="001574E8"/>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5F9"/>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6A6"/>
    <w:rsid w:val="001D1E48"/>
    <w:rsid w:val="001D1FF2"/>
    <w:rsid w:val="001D36D7"/>
    <w:rsid w:val="001D374C"/>
    <w:rsid w:val="001D5DD2"/>
    <w:rsid w:val="001D5F78"/>
    <w:rsid w:val="001D7A0B"/>
    <w:rsid w:val="001D7E76"/>
    <w:rsid w:val="001E19EF"/>
    <w:rsid w:val="001E1CEE"/>
    <w:rsid w:val="001E1D2E"/>
    <w:rsid w:val="001E366D"/>
    <w:rsid w:val="001E4215"/>
    <w:rsid w:val="001E508D"/>
    <w:rsid w:val="001E5EFB"/>
    <w:rsid w:val="001E63F2"/>
    <w:rsid w:val="001E7064"/>
    <w:rsid w:val="001E7C37"/>
    <w:rsid w:val="001E7EFB"/>
    <w:rsid w:val="001F028F"/>
    <w:rsid w:val="001F04FD"/>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2A2"/>
    <w:rsid w:val="00264CBC"/>
    <w:rsid w:val="0026588F"/>
    <w:rsid w:val="0026642F"/>
    <w:rsid w:val="002679A5"/>
    <w:rsid w:val="0027067C"/>
    <w:rsid w:val="00270A4D"/>
    <w:rsid w:val="00272D9A"/>
    <w:rsid w:val="002737EF"/>
    <w:rsid w:val="00274335"/>
    <w:rsid w:val="00274864"/>
    <w:rsid w:val="00274B22"/>
    <w:rsid w:val="00277FC5"/>
    <w:rsid w:val="00284ADD"/>
    <w:rsid w:val="00285CF3"/>
    <w:rsid w:val="00285DA7"/>
    <w:rsid w:val="00286683"/>
    <w:rsid w:val="00286FE0"/>
    <w:rsid w:val="002878A1"/>
    <w:rsid w:val="002912CD"/>
    <w:rsid w:val="00291332"/>
    <w:rsid w:val="00295770"/>
    <w:rsid w:val="00295DDD"/>
    <w:rsid w:val="00296362"/>
    <w:rsid w:val="002968A6"/>
    <w:rsid w:val="00296D90"/>
    <w:rsid w:val="0029703E"/>
    <w:rsid w:val="002A0239"/>
    <w:rsid w:val="002A1860"/>
    <w:rsid w:val="002A1997"/>
    <w:rsid w:val="002A237B"/>
    <w:rsid w:val="002A32E0"/>
    <w:rsid w:val="002A32FA"/>
    <w:rsid w:val="002A3C84"/>
    <w:rsid w:val="002A3F53"/>
    <w:rsid w:val="002A4221"/>
    <w:rsid w:val="002A6274"/>
    <w:rsid w:val="002A6707"/>
    <w:rsid w:val="002B1491"/>
    <w:rsid w:val="002B1DF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2DA7"/>
    <w:rsid w:val="002C4F68"/>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792B"/>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3FB"/>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429"/>
    <w:rsid w:val="00372AEE"/>
    <w:rsid w:val="00374229"/>
    <w:rsid w:val="0037453B"/>
    <w:rsid w:val="00375D49"/>
    <w:rsid w:val="003762A4"/>
    <w:rsid w:val="003770DA"/>
    <w:rsid w:val="00377281"/>
    <w:rsid w:val="0037E466"/>
    <w:rsid w:val="003811C3"/>
    <w:rsid w:val="003817C1"/>
    <w:rsid w:val="00381979"/>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7CE"/>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7794F"/>
    <w:rsid w:val="00480247"/>
    <w:rsid w:val="00483B35"/>
    <w:rsid w:val="00483D65"/>
    <w:rsid w:val="00484663"/>
    <w:rsid w:val="00485B85"/>
    <w:rsid w:val="00486758"/>
    <w:rsid w:val="00486B53"/>
    <w:rsid w:val="00486C77"/>
    <w:rsid w:val="004870A1"/>
    <w:rsid w:val="00487AFB"/>
    <w:rsid w:val="00490235"/>
    <w:rsid w:val="0049168C"/>
    <w:rsid w:val="00492D7C"/>
    <w:rsid w:val="00493986"/>
    <w:rsid w:val="00493E0A"/>
    <w:rsid w:val="00494A74"/>
    <w:rsid w:val="00494B67"/>
    <w:rsid w:val="00496413"/>
    <w:rsid w:val="004A06B9"/>
    <w:rsid w:val="004A14A0"/>
    <w:rsid w:val="004A1B2A"/>
    <w:rsid w:val="004A1C8C"/>
    <w:rsid w:val="004A2174"/>
    <w:rsid w:val="004A4122"/>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E70AE"/>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6FCE"/>
    <w:rsid w:val="00547B98"/>
    <w:rsid w:val="0055251F"/>
    <w:rsid w:val="00553BB6"/>
    <w:rsid w:val="00554079"/>
    <w:rsid w:val="00554F39"/>
    <w:rsid w:val="0055593D"/>
    <w:rsid w:val="005576AE"/>
    <w:rsid w:val="00561537"/>
    <w:rsid w:val="00561AD5"/>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82F"/>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598"/>
    <w:rsid w:val="00675752"/>
    <w:rsid w:val="006770B7"/>
    <w:rsid w:val="006801E4"/>
    <w:rsid w:val="00682EEC"/>
    <w:rsid w:val="00683A9D"/>
    <w:rsid w:val="00683DB5"/>
    <w:rsid w:val="006840CD"/>
    <w:rsid w:val="00685A4F"/>
    <w:rsid w:val="006878AC"/>
    <w:rsid w:val="00690B2A"/>
    <w:rsid w:val="0069247D"/>
    <w:rsid w:val="006936EF"/>
    <w:rsid w:val="00693DFC"/>
    <w:rsid w:val="006943E9"/>
    <w:rsid w:val="00695F64"/>
    <w:rsid w:val="00696548"/>
    <w:rsid w:val="00696D68"/>
    <w:rsid w:val="006A00E0"/>
    <w:rsid w:val="006A103A"/>
    <w:rsid w:val="006A2168"/>
    <w:rsid w:val="006A21C6"/>
    <w:rsid w:val="006A25C8"/>
    <w:rsid w:val="006A308E"/>
    <w:rsid w:val="006A3518"/>
    <w:rsid w:val="006A4C24"/>
    <w:rsid w:val="006A4C9F"/>
    <w:rsid w:val="006A63B5"/>
    <w:rsid w:val="006A7FF7"/>
    <w:rsid w:val="006B07E5"/>
    <w:rsid w:val="006B0C0B"/>
    <w:rsid w:val="006B2C46"/>
    <w:rsid w:val="006B4FC8"/>
    <w:rsid w:val="006B56D9"/>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844"/>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3D76"/>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47F"/>
    <w:rsid w:val="00804575"/>
    <w:rsid w:val="008047E1"/>
    <w:rsid w:val="00804EC7"/>
    <w:rsid w:val="00805459"/>
    <w:rsid w:val="008063B5"/>
    <w:rsid w:val="00806435"/>
    <w:rsid w:val="00806AB6"/>
    <w:rsid w:val="00810EC7"/>
    <w:rsid w:val="00811FC6"/>
    <w:rsid w:val="008120C2"/>
    <w:rsid w:val="0081210B"/>
    <w:rsid w:val="0081265C"/>
    <w:rsid w:val="0081313B"/>
    <w:rsid w:val="00813A3A"/>
    <w:rsid w:val="00813E00"/>
    <w:rsid w:val="00815729"/>
    <w:rsid w:val="00815AAB"/>
    <w:rsid w:val="008168F0"/>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0D86"/>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3FF1"/>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66D7"/>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2F15"/>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53FA"/>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6CD"/>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569"/>
    <w:rsid w:val="00AA6DDB"/>
    <w:rsid w:val="00AB0830"/>
    <w:rsid w:val="00AB2CCC"/>
    <w:rsid w:val="00AB4F2C"/>
    <w:rsid w:val="00AB64F8"/>
    <w:rsid w:val="00AC2079"/>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0F4C"/>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4A9B"/>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127"/>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D40"/>
    <w:rsid w:val="00C074AC"/>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3BE"/>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1C54"/>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273"/>
    <w:rsid w:val="00C75536"/>
    <w:rsid w:val="00C758F8"/>
    <w:rsid w:val="00C76B74"/>
    <w:rsid w:val="00C81DE5"/>
    <w:rsid w:val="00C82860"/>
    <w:rsid w:val="00C837C9"/>
    <w:rsid w:val="00C8396C"/>
    <w:rsid w:val="00C84F1D"/>
    <w:rsid w:val="00C85DD9"/>
    <w:rsid w:val="00C85F5A"/>
    <w:rsid w:val="00C8618D"/>
    <w:rsid w:val="00C86ADF"/>
    <w:rsid w:val="00C870C0"/>
    <w:rsid w:val="00C87546"/>
    <w:rsid w:val="00C92FE8"/>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4347"/>
    <w:rsid w:val="00CF5268"/>
    <w:rsid w:val="00CF57A6"/>
    <w:rsid w:val="00CF5976"/>
    <w:rsid w:val="00CF5D92"/>
    <w:rsid w:val="00D004AD"/>
    <w:rsid w:val="00D01B92"/>
    <w:rsid w:val="00D02935"/>
    <w:rsid w:val="00D02C80"/>
    <w:rsid w:val="00D02FA1"/>
    <w:rsid w:val="00D056E9"/>
    <w:rsid w:val="00D07A89"/>
    <w:rsid w:val="00D10E59"/>
    <w:rsid w:val="00D12870"/>
    <w:rsid w:val="00D1407E"/>
    <w:rsid w:val="00D147C0"/>
    <w:rsid w:val="00D14DD0"/>
    <w:rsid w:val="00D15332"/>
    <w:rsid w:val="00D15379"/>
    <w:rsid w:val="00D15775"/>
    <w:rsid w:val="00D15E8F"/>
    <w:rsid w:val="00D1635A"/>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6FB8"/>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22DE"/>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A8E"/>
    <w:rsid w:val="00E34DED"/>
    <w:rsid w:val="00E368E8"/>
    <w:rsid w:val="00E36D6E"/>
    <w:rsid w:val="00E37C8B"/>
    <w:rsid w:val="00E37ECE"/>
    <w:rsid w:val="00E405B9"/>
    <w:rsid w:val="00E41941"/>
    <w:rsid w:val="00E425D4"/>
    <w:rsid w:val="00E43229"/>
    <w:rsid w:val="00E454C9"/>
    <w:rsid w:val="00E50761"/>
    <w:rsid w:val="00E509D9"/>
    <w:rsid w:val="00E50B13"/>
    <w:rsid w:val="00E50BC4"/>
    <w:rsid w:val="00E51B16"/>
    <w:rsid w:val="00E554A3"/>
    <w:rsid w:val="00E56917"/>
    <w:rsid w:val="00E573C2"/>
    <w:rsid w:val="00E579FC"/>
    <w:rsid w:val="00E603D8"/>
    <w:rsid w:val="00E60CA5"/>
    <w:rsid w:val="00E612D1"/>
    <w:rsid w:val="00E6223B"/>
    <w:rsid w:val="00E631C3"/>
    <w:rsid w:val="00E631DE"/>
    <w:rsid w:val="00E636E4"/>
    <w:rsid w:val="00E63AC5"/>
    <w:rsid w:val="00E64AEA"/>
    <w:rsid w:val="00E65D70"/>
    <w:rsid w:val="00E66948"/>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4C0A"/>
    <w:rsid w:val="00E95DD6"/>
    <w:rsid w:val="00E969D1"/>
    <w:rsid w:val="00E96BB7"/>
    <w:rsid w:val="00E97C37"/>
    <w:rsid w:val="00E97D2E"/>
    <w:rsid w:val="00EA0025"/>
    <w:rsid w:val="00EA0BA6"/>
    <w:rsid w:val="00EA1CEC"/>
    <w:rsid w:val="00EA1D6A"/>
    <w:rsid w:val="00EA3019"/>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6FDF"/>
    <w:rsid w:val="00EB7AF0"/>
    <w:rsid w:val="00EB7FED"/>
    <w:rsid w:val="00EC0583"/>
    <w:rsid w:val="00EC0612"/>
    <w:rsid w:val="00EC079D"/>
    <w:rsid w:val="00EC0AB2"/>
    <w:rsid w:val="00EC24B4"/>
    <w:rsid w:val="00EC2AE7"/>
    <w:rsid w:val="00EC2EDF"/>
    <w:rsid w:val="00EC40B0"/>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5BB"/>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020"/>
    <w:rsid w:val="00F41680"/>
    <w:rsid w:val="00F41EE0"/>
    <w:rsid w:val="00F42C39"/>
    <w:rsid w:val="00F43947"/>
    <w:rsid w:val="00F44E1A"/>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5CFB"/>
    <w:rsid w:val="00F7660F"/>
    <w:rsid w:val="00F768AD"/>
    <w:rsid w:val="00F76B75"/>
    <w:rsid w:val="00F774EE"/>
    <w:rsid w:val="00F77EB8"/>
    <w:rsid w:val="00F8493A"/>
    <w:rsid w:val="00F86AAC"/>
    <w:rsid w:val="00F86D14"/>
    <w:rsid w:val="00F87716"/>
    <w:rsid w:val="00F87E26"/>
    <w:rsid w:val="00F909A2"/>
    <w:rsid w:val="00F90B02"/>
    <w:rsid w:val="00F911A6"/>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634791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906349">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497399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936151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30095701/https:/climate.ec.europa.eu/eu-action/carbon-removals-and-carbon-farming_en"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c3602c21-e7c0-460f-98aa-ced99acbd232"/>
    <ds:schemaRef ds:uri="http://schemas.microsoft.com/office/2006/documentManagement/types"/>
    <ds:schemaRef ds:uri="http://schemas.openxmlformats.org/package/2006/metadata/core-properties"/>
    <ds:schemaRef ds:uri="http://purl.org/dc/terms/"/>
    <ds:schemaRef ds:uri="http://purl.org/dc/elements/1.1/"/>
    <ds:schemaRef ds:uri="http://www.w3.org/XML/1998/namespace"/>
    <ds:schemaRef ds:uri="http://purl.org/dc/dcmitype/"/>
    <ds:schemaRef ds:uri="http://schemas.microsoft.com/office/infopath/2007/PartnerControls"/>
    <ds:schemaRef ds:uri="http://schemas.microsoft.com/office/2006/metadata/properties"/>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ADB90DB1-1C75-4AB7-AE71-1B63489112A6}"/>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22609</Words>
  <Characters>134301</Characters>
  <Application>Microsoft Office Word</Application>
  <DocSecurity>0</DocSecurity>
  <Lines>8393</Lines>
  <Paragraphs>4754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152156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 Brauw</cp:lastModifiedBy>
  <cp:revision>63</cp:revision>
  <cp:lastPrinted>2025-03-21T00:14:00Z</cp:lastPrinted>
  <dcterms:created xsi:type="dcterms:W3CDTF">2025-07-03T14:05:00Z</dcterms:created>
  <dcterms:modified xsi:type="dcterms:W3CDTF">2025-07-29T22:01:00Z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mDocType">
    <vt:lpwstr/>
  </property>
</Properties>
</file>